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E90" w:rsidRPr="00863435" w:rsidRDefault="00BD59DD">
      <w:pPr>
        <w:rPr>
          <w:b/>
        </w:rPr>
      </w:pPr>
      <w:r w:rsidRPr="00863435">
        <w:rPr>
          <w:b/>
        </w:rPr>
        <w:t xml:space="preserve">Private Altersvorsorge </w:t>
      </w:r>
    </w:p>
    <w:p w:rsidR="00BD59DD" w:rsidRPr="00863435" w:rsidRDefault="00BD59DD">
      <w:pPr>
        <w:rPr>
          <w:b/>
        </w:rPr>
      </w:pPr>
      <w:r w:rsidRPr="00863435">
        <w:rPr>
          <w:b/>
        </w:rPr>
        <w:t xml:space="preserve">Was ist die Private Altersvorsorge? </w:t>
      </w:r>
    </w:p>
    <w:p w:rsidR="00BD59DD" w:rsidRPr="00863435" w:rsidRDefault="00BD59DD" w:rsidP="00BD59DD">
      <w:pPr>
        <w:pStyle w:val="Listenabsatz"/>
        <w:numPr>
          <w:ilvl w:val="0"/>
          <w:numId w:val="1"/>
        </w:numPr>
        <w:rPr>
          <w:b/>
        </w:rPr>
      </w:pPr>
      <w:r w:rsidRPr="00863435">
        <w:rPr>
          <w:rStyle w:val="Fett"/>
          <w:b w:val="0"/>
        </w:rPr>
        <w:t>Mit einer privaten Altersvorsorge können Sie die gesetzliche Rente sinnvoll ergänzen.</w:t>
      </w:r>
    </w:p>
    <w:p w:rsidR="00BD59DD" w:rsidRDefault="00BD59DD" w:rsidP="00BD59DD">
      <w:pPr>
        <w:pStyle w:val="Listenabsatz"/>
        <w:numPr>
          <w:ilvl w:val="0"/>
          <w:numId w:val="1"/>
        </w:numPr>
      </w:pPr>
      <w:r>
        <w:t xml:space="preserve">Es wird selbständig eingezahlt nicht gesetzlich </w:t>
      </w:r>
    </w:p>
    <w:p w:rsidR="00BD59DD" w:rsidRDefault="00BD59DD" w:rsidP="00BD59DD">
      <w:pPr>
        <w:pStyle w:val="Listenabsatz"/>
        <w:numPr>
          <w:ilvl w:val="0"/>
          <w:numId w:val="1"/>
        </w:numPr>
      </w:pPr>
      <w:r>
        <w:t xml:space="preserve">Selbstständige und Freiberufler sind auf Private Altersvorsorge im Alter angewiesen </w:t>
      </w:r>
    </w:p>
    <w:p w:rsidR="00BD59DD" w:rsidRPr="00863435" w:rsidRDefault="00BD59DD" w:rsidP="00BD59DD">
      <w:pPr>
        <w:rPr>
          <w:b/>
        </w:rPr>
      </w:pPr>
      <w:r w:rsidRPr="00863435">
        <w:rPr>
          <w:b/>
        </w:rPr>
        <w:t xml:space="preserve">Möglichkeiten: </w:t>
      </w:r>
    </w:p>
    <w:p w:rsidR="00BD59DD" w:rsidRDefault="00BD59DD" w:rsidP="00BD59DD">
      <w:pPr>
        <w:pStyle w:val="Listenabsatz"/>
        <w:numPr>
          <w:ilvl w:val="0"/>
          <w:numId w:val="1"/>
        </w:numPr>
      </w:pPr>
      <w:r>
        <w:t xml:space="preserve">Lebensversicherung : ermöglicht Grundlagen für das hohe Alter und darüber hinaus für die Angehörigen </w:t>
      </w:r>
    </w:p>
    <w:p w:rsidR="00BD59DD" w:rsidRDefault="00BD59DD" w:rsidP="00BD59DD">
      <w:pPr>
        <w:pStyle w:val="Listenabsatz"/>
        <w:numPr>
          <w:ilvl w:val="0"/>
          <w:numId w:val="1"/>
        </w:numPr>
      </w:pPr>
      <w:r>
        <w:t>Riester-Rente : bietet Zulagen und Steuervorteile, sorgen vor und profitieren durch Unterstützung vom Staat</w:t>
      </w:r>
      <w:r w:rsidR="00B6109F">
        <w:t xml:space="preserve"> (Arbeitnehmer und Beamte) </w:t>
      </w:r>
    </w:p>
    <w:p w:rsidR="00BD59DD" w:rsidRDefault="00BD59DD" w:rsidP="00BD59DD">
      <w:pPr>
        <w:pStyle w:val="Listenabsatz"/>
        <w:numPr>
          <w:ilvl w:val="0"/>
          <w:numId w:val="1"/>
        </w:numPr>
      </w:pPr>
      <w:r>
        <w:t>Fondsgebundene Rentenversicherung : investieren in verschiedene Fonds, die durch Akten u. ä. die Erträge erwirtschaften</w:t>
      </w:r>
    </w:p>
    <w:p w:rsidR="00BD59DD" w:rsidRDefault="00BD59DD" w:rsidP="00BD59DD">
      <w:pPr>
        <w:pStyle w:val="Listenabsatz"/>
        <w:numPr>
          <w:ilvl w:val="0"/>
          <w:numId w:val="1"/>
        </w:numPr>
      </w:pPr>
      <w:r>
        <w:t xml:space="preserve">Klassische Rentenversicherung : ohne Risiko, keine Rendite </w:t>
      </w:r>
    </w:p>
    <w:p w:rsidR="00BD59DD" w:rsidRDefault="00BD59DD" w:rsidP="00BD59DD">
      <w:pPr>
        <w:pStyle w:val="Listenabsatz"/>
        <w:numPr>
          <w:ilvl w:val="0"/>
          <w:numId w:val="1"/>
        </w:numPr>
      </w:pPr>
      <w:r>
        <w:t xml:space="preserve">Rürup-rente: </w:t>
      </w:r>
      <w:r w:rsidR="00B6109F">
        <w:t>ist eine private Altersvorsorge mit attraktiver steuerlicher Förderung, die sich daher vor allem für Selbstständige und Gutverdiener empfiehlt.</w:t>
      </w:r>
    </w:p>
    <w:p w:rsidR="00B6109F" w:rsidRDefault="00B6109F" w:rsidP="00BD59DD">
      <w:pPr>
        <w:pStyle w:val="Listenabsatz"/>
        <w:numPr>
          <w:ilvl w:val="0"/>
          <w:numId w:val="1"/>
        </w:numPr>
      </w:pPr>
      <w:r>
        <w:t xml:space="preserve">Sofort Rente: Einmalbeitrag bezahlen und lebenslange Rente sichern </w:t>
      </w:r>
    </w:p>
    <w:p w:rsidR="00B6109F" w:rsidRPr="00863435" w:rsidRDefault="00B6109F" w:rsidP="00B6109F">
      <w:pPr>
        <w:rPr>
          <w:b/>
        </w:rPr>
      </w:pPr>
      <w:r w:rsidRPr="00863435">
        <w:rPr>
          <w:b/>
        </w:rPr>
        <w:t xml:space="preserve">Wie? </w:t>
      </w:r>
    </w:p>
    <w:p w:rsidR="00B6109F" w:rsidRDefault="00B6109F" w:rsidP="00B6109F">
      <w:pPr>
        <w:pStyle w:val="Listenabsatz"/>
        <w:numPr>
          <w:ilvl w:val="0"/>
          <w:numId w:val="1"/>
        </w:numPr>
      </w:pPr>
      <w:r>
        <w:t xml:space="preserve">Es werden Monatliche Beiträge gezahlt </w:t>
      </w:r>
    </w:p>
    <w:p w:rsidR="00B6109F" w:rsidRPr="00863435" w:rsidRDefault="00B6109F" w:rsidP="00B6109F">
      <w:pPr>
        <w:rPr>
          <w:b/>
        </w:rPr>
      </w:pPr>
      <w:r w:rsidRPr="00863435">
        <w:rPr>
          <w:b/>
        </w:rPr>
        <w:t xml:space="preserve">Warum? </w:t>
      </w:r>
    </w:p>
    <w:p w:rsidR="00B6109F" w:rsidRDefault="00B6109F" w:rsidP="00B6109F">
      <w:pPr>
        <w:pStyle w:val="Listenabsatz"/>
        <w:numPr>
          <w:ilvl w:val="0"/>
          <w:numId w:val="1"/>
        </w:numPr>
      </w:pPr>
      <w:r w:rsidRPr="00B6109F">
        <w:t xml:space="preserve">Die gesetzliche Rentenversicherung soll den Beitragszahlern </w:t>
      </w:r>
      <w:r w:rsidRPr="00B6109F">
        <w:rPr>
          <w:rStyle w:val="Fett"/>
          <w:b w:val="0"/>
        </w:rPr>
        <w:t>im späteren Leben ein gesichertes Auskommen</w:t>
      </w:r>
      <w:r w:rsidRPr="00B6109F">
        <w:t xml:space="preserve"> bescheren. Durch den demografischen Wandel funktioniert dieses System aber immer weniger so, wie es ursprünglich gedacht war. Das hat zur Folge, dass in Zukunft selbst Menschen mit einem mittleren oder guten Einkommen weitaus weniger Geld im Alter zur Verfügung stehen wird, als sie es erwartet haben. Wenn Sie die gesetzliche Rente aufstocken möchten oder als Selbständiger komplett auf eigene Vorsorgebemühungen angewiesen sind, dann bietet Ihnen die private Altersvorsorge die Möglichkeit, frühzeitig der Altersarmut vorzubeugen.</w:t>
      </w:r>
    </w:p>
    <w:p w:rsidR="00863435" w:rsidRDefault="00863435" w:rsidP="00863435"/>
    <w:p w:rsidR="006C19D1" w:rsidRDefault="006C19D1" w:rsidP="00863435"/>
    <w:p w:rsidR="006C19D1" w:rsidRDefault="006C19D1" w:rsidP="00863435"/>
    <w:p w:rsidR="006C19D1" w:rsidRDefault="006C19D1" w:rsidP="00863435"/>
    <w:p w:rsidR="006C19D1" w:rsidRDefault="006C19D1" w:rsidP="00863435"/>
    <w:p w:rsidR="006C19D1" w:rsidRDefault="006C19D1" w:rsidP="00863435"/>
    <w:p w:rsidR="006C19D1" w:rsidRDefault="006C19D1" w:rsidP="00863435"/>
    <w:p w:rsidR="006C19D1" w:rsidRDefault="006C19D1" w:rsidP="00863435"/>
    <w:p w:rsidR="00F2678F" w:rsidRDefault="00F2678F" w:rsidP="00863435">
      <w:pPr>
        <w:rPr>
          <w:rFonts w:ascii="Arial" w:hAnsi="Arial" w:cs="Arial"/>
          <w:szCs w:val="24"/>
        </w:rPr>
      </w:pPr>
    </w:p>
    <w:p w:rsidR="00F2678F" w:rsidRDefault="00F2678F" w:rsidP="00863435">
      <w:pPr>
        <w:rPr>
          <w:rFonts w:ascii="Arial" w:hAnsi="Arial" w:cs="Arial"/>
          <w:szCs w:val="24"/>
        </w:rPr>
      </w:pPr>
    </w:p>
    <w:p w:rsidR="00F2678F" w:rsidRDefault="00F2678F" w:rsidP="00863435">
      <w:pPr>
        <w:rPr>
          <w:rFonts w:ascii="Arial" w:hAnsi="Arial" w:cs="Arial"/>
          <w:szCs w:val="24"/>
        </w:rPr>
      </w:pPr>
    </w:p>
    <w:p w:rsidR="00F2678F" w:rsidRDefault="00F2678F" w:rsidP="00863435">
      <w:pPr>
        <w:rPr>
          <w:rFonts w:ascii="Arial" w:hAnsi="Arial" w:cs="Arial"/>
          <w:szCs w:val="24"/>
        </w:rPr>
      </w:pPr>
    </w:p>
    <w:p w:rsidR="006C19D1" w:rsidRPr="002007D0" w:rsidRDefault="00450B8F" w:rsidP="00863435">
      <w:pPr>
        <w:rPr>
          <w:rFonts w:ascii="Arial" w:hAnsi="Arial" w:cs="Arial"/>
          <w:szCs w:val="24"/>
        </w:rPr>
      </w:pPr>
      <w:r w:rsidRPr="002007D0">
        <w:rPr>
          <w:rFonts w:ascii="Arial" w:hAnsi="Arial" w:cs="Arial"/>
          <w:szCs w:val="24"/>
        </w:rPr>
        <w:lastRenderedPageBreak/>
        <w:t>Riester Rente:</w:t>
      </w:r>
    </w:p>
    <w:p w:rsidR="00450B8F" w:rsidRPr="002007D0" w:rsidRDefault="00450B8F" w:rsidP="00654604">
      <w:pPr>
        <w:spacing w:after="0" w:line="240" w:lineRule="auto"/>
        <w:rPr>
          <w:rFonts w:ascii="Arial" w:hAnsi="Arial" w:cs="Arial"/>
          <w:szCs w:val="24"/>
        </w:rPr>
      </w:pPr>
      <w:r w:rsidRPr="002007D0">
        <w:rPr>
          <w:rFonts w:ascii="Arial" w:hAnsi="Arial" w:cs="Arial"/>
          <w:szCs w:val="24"/>
        </w:rPr>
        <w:t>Die Riester Rente ist ein Anlageprodukt im Bereich der Altersvorsorge, in dem der Staat</w:t>
      </w:r>
    </w:p>
    <w:p w:rsidR="00450B8F" w:rsidRPr="002007D0" w:rsidRDefault="00450B8F" w:rsidP="00654604">
      <w:pPr>
        <w:spacing w:after="0" w:line="240" w:lineRule="auto"/>
        <w:rPr>
          <w:rFonts w:ascii="Arial" w:hAnsi="Arial" w:cs="Arial"/>
          <w:szCs w:val="24"/>
        </w:rPr>
      </w:pPr>
      <w:r w:rsidRPr="002007D0">
        <w:rPr>
          <w:rFonts w:ascii="Arial" w:hAnsi="Arial" w:cs="Arial"/>
          <w:szCs w:val="24"/>
        </w:rPr>
        <w:t xml:space="preserve">durch Zulagen den </w:t>
      </w:r>
      <w:r w:rsidR="00654604" w:rsidRPr="002007D0">
        <w:rPr>
          <w:rFonts w:ascii="Arial" w:hAnsi="Arial" w:cs="Arial"/>
          <w:szCs w:val="24"/>
        </w:rPr>
        <w:t xml:space="preserve">Sparer beim Vermögensaufbau zur </w:t>
      </w:r>
      <w:r w:rsidRPr="002007D0">
        <w:rPr>
          <w:rFonts w:ascii="Arial" w:hAnsi="Arial" w:cs="Arial"/>
          <w:szCs w:val="24"/>
        </w:rPr>
        <w:t>Altersvorsorge unterstützt.</w:t>
      </w:r>
      <w:r w:rsidR="00654604" w:rsidRPr="002007D0">
        <w:rPr>
          <w:rFonts w:ascii="Arial" w:hAnsi="Arial" w:cs="Arial"/>
          <w:szCs w:val="24"/>
        </w:rPr>
        <w:t xml:space="preserve"> Dieser Betrag wird um staatliche Zulagen vermindert, die von der persönlichen Situation des Sparers abhängen und somit unterschiedlich ausfallen können. Dies bedeutet, dass der Sparer einen Teil des Betrages selber aufbringt und der andere Teil vom Staat finanziert wird.</w:t>
      </w:r>
    </w:p>
    <w:p w:rsidR="00654604" w:rsidRPr="002007D0" w:rsidRDefault="00654604" w:rsidP="00654604">
      <w:pPr>
        <w:spacing w:after="0" w:line="240" w:lineRule="auto"/>
        <w:rPr>
          <w:rFonts w:ascii="Arial" w:hAnsi="Arial" w:cs="Arial"/>
          <w:szCs w:val="24"/>
        </w:rPr>
      </w:pPr>
    </w:p>
    <w:p w:rsidR="00654604" w:rsidRPr="002007D0" w:rsidRDefault="00654604" w:rsidP="00654604">
      <w:pPr>
        <w:spacing w:after="0" w:line="240" w:lineRule="auto"/>
        <w:rPr>
          <w:rFonts w:ascii="Arial" w:hAnsi="Arial" w:cs="Arial"/>
          <w:szCs w:val="24"/>
        </w:rPr>
      </w:pPr>
    </w:p>
    <w:p w:rsidR="006C19D1" w:rsidRPr="002007D0" w:rsidRDefault="002007D0" w:rsidP="00863435">
      <w:pPr>
        <w:rPr>
          <w:rFonts w:ascii="Arial" w:hAnsi="Arial" w:cs="Arial"/>
          <w:szCs w:val="24"/>
        </w:rPr>
      </w:pPr>
      <w:r>
        <w:rPr>
          <w:rFonts w:ascii="Arial" w:hAnsi="Arial" w:cs="Arial"/>
          <w:szCs w:val="24"/>
        </w:rPr>
        <w:t xml:space="preserve">Mindesteigenbeitrag: </w:t>
      </w:r>
      <w:r>
        <w:rPr>
          <w:rFonts w:ascii="Arial" w:hAnsi="Arial" w:cs="Arial"/>
          <w:szCs w:val="24"/>
        </w:rPr>
        <w:tab/>
      </w:r>
      <w:r w:rsidR="00654604" w:rsidRPr="002007D0">
        <w:rPr>
          <w:rFonts w:ascii="Arial" w:hAnsi="Arial" w:cs="Arial"/>
          <w:szCs w:val="24"/>
        </w:rPr>
        <w:t>4% des sozialversicherungspflichtigen Vorjahresbruttoeinkommens</w:t>
      </w:r>
    </w:p>
    <w:p w:rsidR="00654604" w:rsidRPr="002007D0" w:rsidRDefault="00654604" w:rsidP="00863435">
      <w:pPr>
        <w:rPr>
          <w:rFonts w:ascii="Arial" w:hAnsi="Arial" w:cs="Arial"/>
          <w:szCs w:val="24"/>
        </w:rPr>
      </w:pPr>
      <w:r w:rsidRPr="002007D0">
        <w:rPr>
          <w:rFonts w:ascii="Arial" w:hAnsi="Arial" w:cs="Arial"/>
          <w:szCs w:val="24"/>
        </w:rPr>
        <w:t xml:space="preserve">Grundzulage: </w:t>
      </w:r>
      <w:r w:rsidR="002007D0">
        <w:rPr>
          <w:rFonts w:ascii="Arial" w:hAnsi="Arial" w:cs="Arial"/>
          <w:szCs w:val="24"/>
        </w:rPr>
        <w:tab/>
      </w:r>
      <w:r w:rsidR="002007D0">
        <w:rPr>
          <w:rFonts w:ascii="Arial" w:hAnsi="Arial" w:cs="Arial"/>
          <w:szCs w:val="24"/>
        </w:rPr>
        <w:tab/>
      </w:r>
      <w:r w:rsidRPr="002007D0">
        <w:rPr>
          <w:rFonts w:ascii="Arial" w:hAnsi="Arial" w:cs="Arial"/>
          <w:szCs w:val="24"/>
        </w:rPr>
        <w:t>175€ (seit 2017)</w:t>
      </w:r>
      <w:r w:rsidR="003903D3">
        <w:rPr>
          <w:rFonts w:ascii="Arial" w:hAnsi="Arial" w:cs="Arial"/>
          <w:szCs w:val="24"/>
        </w:rPr>
        <w:t xml:space="preserve"> vorher 154€</w:t>
      </w:r>
    </w:p>
    <w:p w:rsidR="00654604" w:rsidRPr="002007D0" w:rsidRDefault="00654604" w:rsidP="00654604">
      <w:pPr>
        <w:pStyle w:val="Default"/>
        <w:rPr>
          <w:sz w:val="22"/>
        </w:rPr>
      </w:pPr>
      <w:r w:rsidRPr="002007D0">
        <w:rPr>
          <w:sz w:val="22"/>
        </w:rPr>
        <w:t xml:space="preserve">Kinderzulagen: </w:t>
      </w:r>
      <w:r w:rsidR="002007D0" w:rsidRPr="002007D0">
        <w:rPr>
          <w:sz w:val="22"/>
        </w:rPr>
        <w:tab/>
      </w:r>
      <w:r w:rsidRPr="002007D0">
        <w:rPr>
          <w:sz w:val="22"/>
        </w:rPr>
        <w:t xml:space="preserve">für Kinder geb. vor 2008 </w:t>
      </w:r>
      <w:r w:rsidR="002007D0" w:rsidRPr="002007D0">
        <w:rPr>
          <w:sz w:val="22"/>
        </w:rPr>
        <w:tab/>
        <w:t>185€</w:t>
      </w:r>
    </w:p>
    <w:p w:rsidR="002007D0" w:rsidRDefault="002007D0" w:rsidP="002007D0">
      <w:pPr>
        <w:pStyle w:val="Default"/>
        <w:rPr>
          <w:sz w:val="22"/>
        </w:rPr>
      </w:pPr>
      <w:r w:rsidRPr="002007D0">
        <w:tab/>
      </w:r>
      <w:r w:rsidRPr="002007D0">
        <w:tab/>
      </w:r>
      <w:r w:rsidRPr="002007D0">
        <w:tab/>
      </w:r>
      <w:r w:rsidRPr="002007D0">
        <w:rPr>
          <w:sz w:val="22"/>
        </w:rPr>
        <w:t xml:space="preserve">für Kinder geb. nach 2008  </w:t>
      </w:r>
      <w:r w:rsidRPr="002007D0">
        <w:rPr>
          <w:sz w:val="22"/>
        </w:rPr>
        <w:tab/>
        <w:t>300€</w:t>
      </w:r>
    </w:p>
    <w:p w:rsidR="002007D0" w:rsidRDefault="002007D0" w:rsidP="002007D0">
      <w:pPr>
        <w:pStyle w:val="Default"/>
        <w:rPr>
          <w:sz w:val="22"/>
        </w:rPr>
      </w:pPr>
    </w:p>
    <w:p w:rsidR="002007D0" w:rsidRDefault="002007D0" w:rsidP="002007D0">
      <w:pPr>
        <w:pStyle w:val="Default"/>
        <w:rPr>
          <w:sz w:val="22"/>
        </w:rPr>
      </w:pPr>
      <w:r>
        <w:rPr>
          <w:sz w:val="22"/>
        </w:rPr>
        <w:t>evtl. Bonus:</w:t>
      </w:r>
      <w:r>
        <w:rPr>
          <w:sz w:val="22"/>
        </w:rPr>
        <w:tab/>
      </w:r>
      <w:r>
        <w:rPr>
          <w:sz w:val="22"/>
        </w:rPr>
        <w:tab/>
        <w:t>Bis Beginn des 1. Beitrag Jahres noch nicht 26 – einmalig 200€ Bonus</w:t>
      </w:r>
    </w:p>
    <w:p w:rsidR="002007D0" w:rsidRDefault="002007D0" w:rsidP="002007D0">
      <w:pPr>
        <w:pStyle w:val="Default"/>
        <w:rPr>
          <w:sz w:val="22"/>
        </w:rPr>
      </w:pPr>
    </w:p>
    <w:p w:rsidR="002007D0" w:rsidRDefault="002007D0" w:rsidP="002007D0">
      <w:pPr>
        <w:pStyle w:val="Default"/>
        <w:rPr>
          <w:sz w:val="22"/>
        </w:rPr>
      </w:pPr>
      <w:r>
        <w:rPr>
          <w:sz w:val="22"/>
        </w:rPr>
        <w:t>Sockelbeitrag:</w:t>
      </w:r>
      <w:r>
        <w:rPr>
          <w:sz w:val="22"/>
        </w:rPr>
        <w:tab/>
      </w:r>
      <w:r>
        <w:rPr>
          <w:sz w:val="22"/>
        </w:rPr>
        <w:tab/>
        <w:t xml:space="preserve">60€ </w:t>
      </w:r>
    </w:p>
    <w:p w:rsidR="002007D0" w:rsidRDefault="002007D0" w:rsidP="002007D0">
      <w:pPr>
        <w:pStyle w:val="Default"/>
        <w:rPr>
          <w:sz w:val="22"/>
        </w:rPr>
      </w:pPr>
    </w:p>
    <w:p w:rsidR="002007D0" w:rsidRPr="002007D0" w:rsidRDefault="002007D0" w:rsidP="002007D0">
      <w:pPr>
        <w:pStyle w:val="Default"/>
      </w:pPr>
    </w:p>
    <w:p w:rsidR="002007D0" w:rsidRDefault="002007D0" w:rsidP="00654604">
      <w:pPr>
        <w:pStyle w:val="Default"/>
        <w:rPr>
          <w:sz w:val="22"/>
          <w:szCs w:val="22"/>
        </w:rPr>
      </w:pPr>
    </w:p>
    <w:tbl>
      <w:tblPr>
        <w:tblStyle w:val="Tabellenraster"/>
        <w:tblW w:w="0" w:type="auto"/>
        <w:tblLook w:val="04A0" w:firstRow="1" w:lastRow="0" w:firstColumn="1" w:lastColumn="0" w:noHBand="0" w:noVBand="1"/>
      </w:tblPr>
      <w:tblGrid>
        <w:gridCol w:w="1134"/>
        <w:gridCol w:w="4361"/>
        <w:gridCol w:w="326"/>
        <w:gridCol w:w="1291"/>
      </w:tblGrid>
      <w:tr w:rsidR="00F2678F" w:rsidTr="00420534">
        <w:tc>
          <w:tcPr>
            <w:tcW w:w="1134" w:type="dxa"/>
          </w:tcPr>
          <w:p w:rsidR="00F2678F" w:rsidRDefault="00F2678F" w:rsidP="00863435"/>
        </w:tc>
        <w:tc>
          <w:tcPr>
            <w:tcW w:w="4361" w:type="dxa"/>
          </w:tcPr>
          <w:p w:rsidR="00F2678F" w:rsidRDefault="00F2678F" w:rsidP="00863435"/>
        </w:tc>
        <w:tc>
          <w:tcPr>
            <w:tcW w:w="283" w:type="dxa"/>
          </w:tcPr>
          <w:p w:rsidR="00F2678F" w:rsidRDefault="00F2678F" w:rsidP="00863435"/>
        </w:tc>
        <w:tc>
          <w:tcPr>
            <w:tcW w:w="1276" w:type="dxa"/>
          </w:tcPr>
          <w:p w:rsidR="00F2678F" w:rsidRDefault="00F2678F" w:rsidP="00863435">
            <w:r>
              <w:t>Berechnung</w:t>
            </w:r>
          </w:p>
        </w:tc>
      </w:tr>
      <w:tr w:rsidR="00F2678F" w:rsidTr="00420534">
        <w:tc>
          <w:tcPr>
            <w:tcW w:w="1134" w:type="dxa"/>
          </w:tcPr>
          <w:p w:rsidR="00F2678F" w:rsidRDefault="00F2678F" w:rsidP="00863435">
            <w:r>
              <w:t>1</w:t>
            </w:r>
          </w:p>
        </w:tc>
        <w:tc>
          <w:tcPr>
            <w:tcW w:w="4361" w:type="dxa"/>
          </w:tcPr>
          <w:p w:rsidR="00F2678F" w:rsidRDefault="00F2678F" w:rsidP="00F2678F">
            <w:pPr>
              <w:pStyle w:val="Default"/>
              <w:rPr>
                <w:sz w:val="22"/>
                <w:szCs w:val="22"/>
              </w:rPr>
            </w:pPr>
            <w:r>
              <w:rPr>
                <w:sz w:val="22"/>
                <w:szCs w:val="22"/>
              </w:rPr>
              <w:t xml:space="preserve">Sozialversicherungspflichtiges Einkommen des Vorjahres </w:t>
            </w:r>
          </w:p>
          <w:p w:rsidR="00F2678F" w:rsidRDefault="00F2678F" w:rsidP="00F2678F">
            <w:pPr>
              <w:pStyle w:val="Default"/>
              <w:rPr>
                <w:sz w:val="22"/>
                <w:szCs w:val="22"/>
              </w:rPr>
            </w:pPr>
            <w:r>
              <w:rPr>
                <w:noProof/>
                <w:sz w:val="22"/>
                <w:szCs w:val="22"/>
                <w:lang w:eastAsia="de-DE"/>
              </w:rPr>
              <mc:AlternateContent>
                <mc:Choice Requires="wps">
                  <w:drawing>
                    <wp:anchor distT="0" distB="0" distL="114300" distR="114300" simplePos="0" relativeHeight="251661312" behindDoc="0" locked="0" layoutInCell="1" allowOverlap="1" wp14:anchorId="44E5A305" wp14:editId="38ABD3A7">
                      <wp:simplePos x="0" y="0"/>
                      <wp:positionH relativeFrom="column">
                        <wp:posOffset>567250</wp:posOffset>
                      </wp:positionH>
                      <wp:positionV relativeFrom="paragraph">
                        <wp:posOffset>21199</wp:posOffset>
                      </wp:positionV>
                      <wp:extent cx="1061720" cy="434975"/>
                      <wp:effectExtent l="38100" t="0" r="24130" b="41275"/>
                      <wp:wrapNone/>
                      <wp:docPr id="1" name="Pfeil nach unten 1"/>
                      <wp:cNvGraphicFramePr/>
                      <a:graphic xmlns:a="http://schemas.openxmlformats.org/drawingml/2006/main">
                        <a:graphicData uri="http://schemas.microsoft.com/office/word/2010/wordprocessingShape">
                          <wps:wsp>
                            <wps:cNvSpPr/>
                            <wps:spPr>
                              <a:xfrm>
                                <a:off x="0" y="0"/>
                                <a:ext cx="1061720" cy="434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678F" w:rsidRPr="00F2678F" w:rsidRDefault="00F2678F" w:rsidP="00F2678F">
                                  <w:pPr>
                                    <w:jc w:val="center"/>
                                    <w:rPr>
                                      <w:sz w:val="28"/>
                                    </w:rPr>
                                  </w:pPr>
                                  <w:r>
                                    <w:rPr>
                                      <w:sz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5A3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 o:spid="_x0000_s1026" type="#_x0000_t67" style="position:absolute;margin-left:44.65pt;margin-top:1.65pt;width:83.6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" adj="10800" fillcolor="#4f81bd [3204]" strokecolor="#243f60 [1604]" strokeweight="2pt">
                      <v:textbox>
                        <w:txbxContent>
                          <w:p w:rsidR="00F2678F" w:rsidRPr="00F2678F" w:rsidRDefault="00F2678F" w:rsidP="00F2678F">
                            <w:pPr>
                              <w:jc w:val="center"/>
                              <w:rPr>
                                <w:sz w:val="28"/>
                              </w:rPr>
                            </w:pPr>
                            <w:r>
                              <w:rPr>
                                <w:sz w:val="28"/>
                              </w:rPr>
                              <w:t>4%</w:t>
                            </w:r>
                          </w:p>
                        </w:txbxContent>
                      </v:textbox>
                    </v:shape>
                  </w:pict>
                </mc:Fallback>
              </mc:AlternateContent>
            </w:r>
          </w:p>
          <w:p w:rsidR="00F2678F" w:rsidRDefault="00F2678F" w:rsidP="00F2678F">
            <w:pPr>
              <w:pStyle w:val="Default"/>
            </w:pPr>
          </w:p>
          <w:p w:rsidR="00F2678F" w:rsidRDefault="00F2678F" w:rsidP="00F2678F">
            <w:pPr>
              <w:pStyle w:val="Default"/>
            </w:pPr>
          </w:p>
        </w:tc>
        <w:tc>
          <w:tcPr>
            <w:tcW w:w="283" w:type="dxa"/>
          </w:tcPr>
          <w:p w:rsidR="00F2678F" w:rsidRDefault="00F2678F" w:rsidP="00863435"/>
        </w:tc>
        <w:tc>
          <w:tcPr>
            <w:tcW w:w="1276" w:type="dxa"/>
          </w:tcPr>
          <w:p w:rsidR="00F2678F" w:rsidRPr="00F2678F" w:rsidRDefault="00F2678F" w:rsidP="00F2678F">
            <w:pPr>
              <w:jc w:val="center"/>
              <w:rPr>
                <w:color w:val="FF0000"/>
              </w:rPr>
            </w:pPr>
            <w:r w:rsidRPr="00F2678F">
              <w:rPr>
                <w:color w:val="FF0000"/>
              </w:rPr>
              <w:t>20.000,-€</w:t>
            </w:r>
          </w:p>
        </w:tc>
      </w:tr>
      <w:tr w:rsidR="00F2678F" w:rsidTr="00420534">
        <w:tc>
          <w:tcPr>
            <w:tcW w:w="1134" w:type="dxa"/>
          </w:tcPr>
          <w:p w:rsidR="00F2678F" w:rsidRDefault="00F2678F" w:rsidP="00863435">
            <w:r>
              <w:t>2</w:t>
            </w:r>
          </w:p>
        </w:tc>
        <w:tc>
          <w:tcPr>
            <w:tcW w:w="4361" w:type="dxa"/>
          </w:tcPr>
          <w:p w:rsidR="00F2678F" w:rsidRDefault="00F2678F" w:rsidP="00420534">
            <w:pPr>
              <w:pStyle w:val="Default"/>
            </w:pPr>
            <w:r>
              <w:rPr>
                <w:sz w:val="22"/>
                <w:szCs w:val="22"/>
              </w:rPr>
              <w:t xml:space="preserve">Mindesteigenbeitrag </w:t>
            </w:r>
          </w:p>
        </w:tc>
        <w:tc>
          <w:tcPr>
            <w:tcW w:w="283" w:type="dxa"/>
          </w:tcPr>
          <w:p w:rsidR="00F2678F" w:rsidRPr="00F2678F" w:rsidRDefault="00F2678F" w:rsidP="00F2678F">
            <w:pPr>
              <w:jc w:val="center"/>
              <w:rPr>
                <w:color w:val="FF0000"/>
              </w:rPr>
            </w:pPr>
            <w:r w:rsidRPr="00F2678F">
              <w:rPr>
                <w:color w:val="FF0000"/>
              </w:rPr>
              <w:t>+</w:t>
            </w:r>
          </w:p>
        </w:tc>
        <w:tc>
          <w:tcPr>
            <w:tcW w:w="1276" w:type="dxa"/>
          </w:tcPr>
          <w:p w:rsidR="00F2678F" w:rsidRPr="00F2678F" w:rsidRDefault="00F2678F" w:rsidP="00F2678F">
            <w:pPr>
              <w:jc w:val="center"/>
              <w:rPr>
                <w:color w:val="FF0000"/>
              </w:rPr>
            </w:pPr>
            <w:r w:rsidRPr="00F2678F">
              <w:rPr>
                <w:color w:val="FF0000"/>
              </w:rPr>
              <w:t>800,-€</w:t>
            </w:r>
          </w:p>
        </w:tc>
      </w:tr>
      <w:tr w:rsidR="00F2678F" w:rsidTr="00420534">
        <w:tc>
          <w:tcPr>
            <w:tcW w:w="1134" w:type="dxa"/>
          </w:tcPr>
          <w:p w:rsidR="00F2678F" w:rsidRDefault="00F2678F" w:rsidP="00863435">
            <w:r>
              <w:t>3</w:t>
            </w:r>
          </w:p>
        </w:tc>
        <w:tc>
          <w:tcPr>
            <w:tcW w:w="4361" w:type="dxa"/>
          </w:tcPr>
          <w:p w:rsidR="00F2678F" w:rsidRDefault="00F2678F" w:rsidP="00420534">
            <w:pPr>
              <w:pStyle w:val="Default"/>
            </w:pPr>
            <w:r>
              <w:rPr>
                <w:sz w:val="22"/>
                <w:szCs w:val="22"/>
              </w:rPr>
              <w:t>Grundzulage (</w:t>
            </w:r>
            <w:r w:rsidRPr="00F2678F">
              <w:rPr>
                <w:color w:val="FF0000"/>
                <w:sz w:val="22"/>
                <w:szCs w:val="22"/>
              </w:rPr>
              <w:t>175,-€</w:t>
            </w:r>
            <w:r>
              <w:rPr>
                <w:sz w:val="22"/>
                <w:szCs w:val="22"/>
              </w:rPr>
              <w:t>)</w:t>
            </w:r>
          </w:p>
        </w:tc>
        <w:tc>
          <w:tcPr>
            <w:tcW w:w="283" w:type="dxa"/>
          </w:tcPr>
          <w:p w:rsidR="00F2678F" w:rsidRPr="00F2678F" w:rsidRDefault="00F2678F" w:rsidP="00F2678F">
            <w:pPr>
              <w:jc w:val="center"/>
              <w:rPr>
                <w:color w:val="FF0000"/>
              </w:rPr>
            </w:pPr>
            <w:r w:rsidRPr="00F2678F">
              <w:rPr>
                <w:color w:val="FF0000"/>
              </w:rPr>
              <w:t>-</w:t>
            </w:r>
          </w:p>
        </w:tc>
        <w:tc>
          <w:tcPr>
            <w:tcW w:w="1276" w:type="dxa"/>
          </w:tcPr>
          <w:p w:rsidR="00F2678F" w:rsidRPr="00F2678F" w:rsidRDefault="00F2678F" w:rsidP="00F2678F">
            <w:pPr>
              <w:jc w:val="center"/>
              <w:rPr>
                <w:color w:val="FF0000"/>
              </w:rPr>
            </w:pPr>
            <w:r w:rsidRPr="00F2678F">
              <w:rPr>
                <w:color w:val="FF0000"/>
              </w:rPr>
              <w:t>625,-€</w:t>
            </w:r>
          </w:p>
        </w:tc>
      </w:tr>
      <w:tr w:rsidR="00F2678F" w:rsidTr="00420534">
        <w:tc>
          <w:tcPr>
            <w:tcW w:w="1134" w:type="dxa"/>
          </w:tcPr>
          <w:p w:rsidR="00F2678F" w:rsidRDefault="00F2678F" w:rsidP="00863435">
            <w:r>
              <w:t>4</w:t>
            </w:r>
          </w:p>
        </w:tc>
        <w:tc>
          <w:tcPr>
            <w:tcW w:w="4361" w:type="dxa"/>
          </w:tcPr>
          <w:p w:rsidR="00F2678F" w:rsidRDefault="00F2678F" w:rsidP="00420534">
            <w:pPr>
              <w:pStyle w:val="Default"/>
            </w:pPr>
            <w:r>
              <w:rPr>
                <w:sz w:val="22"/>
                <w:szCs w:val="22"/>
              </w:rPr>
              <w:t>Kinderzulage für Kinder geb. vor 2008 (</w:t>
            </w:r>
            <w:r w:rsidRPr="00F2678F">
              <w:rPr>
                <w:color w:val="FF0000"/>
                <w:sz w:val="22"/>
                <w:szCs w:val="22"/>
              </w:rPr>
              <w:t>185,- €</w:t>
            </w:r>
            <w:r>
              <w:rPr>
                <w:sz w:val="22"/>
                <w:szCs w:val="22"/>
              </w:rPr>
              <w:t xml:space="preserve">) </w:t>
            </w:r>
          </w:p>
        </w:tc>
        <w:tc>
          <w:tcPr>
            <w:tcW w:w="283" w:type="dxa"/>
          </w:tcPr>
          <w:p w:rsidR="00F2678F" w:rsidRPr="00F2678F" w:rsidRDefault="00F2678F" w:rsidP="00F2678F">
            <w:pPr>
              <w:jc w:val="center"/>
              <w:rPr>
                <w:color w:val="FF0000"/>
              </w:rPr>
            </w:pPr>
            <w:r w:rsidRPr="00F2678F">
              <w:rPr>
                <w:color w:val="FF0000"/>
              </w:rPr>
              <w:t>-</w:t>
            </w:r>
          </w:p>
        </w:tc>
        <w:tc>
          <w:tcPr>
            <w:tcW w:w="1276" w:type="dxa"/>
          </w:tcPr>
          <w:p w:rsidR="00F2678F" w:rsidRPr="00F2678F" w:rsidRDefault="00F2678F" w:rsidP="00F2678F">
            <w:pPr>
              <w:jc w:val="center"/>
              <w:rPr>
                <w:color w:val="FF0000"/>
              </w:rPr>
            </w:pPr>
            <w:r w:rsidRPr="00F2678F">
              <w:rPr>
                <w:color w:val="FF0000"/>
              </w:rPr>
              <w:t>440,-€</w:t>
            </w:r>
          </w:p>
        </w:tc>
      </w:tr>
      <w:tr w:rsidR="00F2678F" w:rsidTr="00420534">
        <w:tc>
          <w:tcPr>
            <w:tcW w:w="1134" w:type="dxa"/>
          </w:tcPr>
          <w:p w:rsidR="00F2678F" w:rsidRDefault="00F2678F" w:rsidP="00863435">
            <w:r>
              <w:t>5</w:t>
            </w:r>
          </w:p>
        </w:tc>
        <w:tc>
          <w:tcPr>
            <w:tcW w:w="4361" w:type="dxa"/>
          </w:tcPr>
          <w:p w:rsidR="00F2678F" w:rsidRDefault="00F2678F" w:rsidP="00420534">
            <w:pPr>
              <w:pStyle w:val="Default"/>
            </w:pPr>
            <w:r>
              <w:rPr>
                <w:sz w:val="22"/>
                <w:szCs w:val="22"/>
              </w:rPr>
              <w:t>Kinderzulage für Kinder geb. nach 2008 (</w:t>
            </w:r>
            <w:r w:rsidRPr="00F2678F">
              <w:rPr>
                <w:color w:val="FF0000"/>
                <w:sz w:val="22"/>
                <w:szCs w:val="22"/>
              </w:rPr>
              <w:t>300,- €</w:t>
            </w:r>
            <w:r>
              <w:rPr>
                <w:sz w:val="22"/>
                <w:szCs w:val="22"/>
              </w:rPr>
              <w:t xml:space="preserve">) </w:t>
            </w:r>
          </w:p>
        </w:tc>
        <w:tc>
          <w:tcPr>
            <w:tcW w:w="283" w:type="dxa"/>
          </w:tcPr>
          <w:p w:rsidR="00F2678F" w:rsidRPr="00F2678F" w:rsidRDefault="00F2678F" w:rsidP="00F2678F">
            <w:pPr>
              <w:jc w:val="center"/>
              <w:rPr>
                <w:color w:val="FF0000"/>
              </w:rPr>
            </w:pPr>
            <w:r w:rsidRPr="00F2678F">
              <w:rPr>
                <w:color w:val="FF0000"/>
              </w:rPr>
              <w:t>-</w:t>
            </w:r>
          </w:p>
        </w:tc>
        <w:tc>
          <w:tcPr>
            <w:tcW w:w="1276" w:type="dxa"/>
          </w:tcPr>
          <w:p w:rsidR="00F2678F" w:rsidRPr="00F2678F" w:rsidRDefault="00F2678F" w:rsidP="00F2678F">
            <w:pPr>
              <w:jc w:val="center"/>
              <w:rPr>
                <w:color w:val="FF0000"/>
              </w:rPr>
            </w:pPr>
            <w:r w:rsidRPr="00F2678F">
              <w:rPr>
                <w:color w:val="FF0000"/>
              </w:rPr>
              <w:t>140,-€</w:t>
            </w:r>
          </w:p>
        </w:tc>
      </w:tr>
      <w:tr w:rsidR="00F2678F" w:rsidTr="00420534">
        <w:tc>
          <w:tcPr>
            <w:tcW w:w="1134" w:type="dxa"/>
          </w:tcPr>
          <w:p w:rsidR="00F2678F" w:rsidRDefault="00F2678F" w:rsidP="00863435">
            <w:r>
              <w:t>6</w:t>
            </w:r>
          </w:p>
        </w:tc>
        <w:tc>
          <w:tcPr>
            <w:tcW w:w="4361" w:type="dxa"/>
          </w:tcPr>
          <w:p w:rsidR="00F2678F" w:rsidRPr="00420534" w:rsidRDefault="00F2678F" w:rsidP="00863435">
            <w:pPr>
              <w:rPr>
                <w:rFonts w:ascii="Arial" w:hAnsi="Arial" w:cs="Arial"/>
              </w:rPr>
            </w:pPr>
            <w:r w:rsidRPr="00420534">
              <w:rPr>
                <w:rFonts w:ascii="Arial" w:hAnsi="Arial" w:cs="Arial"/>
              </w:rPr>
              <w:t>Möglicher Bonus (</w:t>
            </w:r>
            <w:r w:rsidRPr="00F2678F">
              <w:rPr>
                <w:rFonts w:ascii="Arial" w:hAnsi="Arial" w:cs="Arial"/>
                <w:color w:val="FF0000"/>
              </w:rPr>
              <w:t>200,-€)</w:t>
            </w:r>
          </w:p>
        </w:tc>
        <w:tc>
          <w:tcPr>
            <w:tcW w:w="283" w:type="dxa"/>
          </w:tcPr>
          <w:p w:rsidR="00F2678F" w:rsidRPr="00F2678F" w:rsidRDefault="00F2678F" w:rsidP="00F2678F">
            <w:pPr>
              <w:jc w:val="center"/>
              <w:rPr>
                <w:color w:val="FF0000"/>
              </w:rPr>
            </w:pPr>
            <w:r w:rsidRPr="00F2678F">
              <w:rPr>
                <w:color w:val="FF0000"/>
              </w:rPr>
              <w:t>-</w:t>
            </w:r>
          </w:p>
        </w:tc>
        <w:tc>
          <w:tcPr>
            <w:tcW w:w="1276" w:type="dxa"/>
          </w:tcPr>
          <w:p w:rsidR="00F2678F" w:rsidRPr="00F2678F" w:rsidRDefault="00F2678F" w:rsidP="00F2678F">
            <w:pPr>
              <w:jc w:val="center"/>
              <w:rPr>
                <w:color w:val="FF0000"/>
              </w:rPr>
            </w:pPr>
            <w:r w:rsidRPr="00F2678F">
              <w:rPr>
                <w:color w:val="FF0000"/>
              </w:rPr>
              <w:t>-60,-€</w:t>
            </w:r>
          </w:p>
        </w:tc>
      </w:tr>
      <w:tr w:rsidR="00F2678F" w:rsidTr="00420534">
        <w:tc>
          <w:tcPr>
            <w:tcW w:w="1134" w:type="dxa"/>
          </w:tcPr>
          <w:p w:rsidR="00F2678F" w:rsidRDefault="00F2678F" w:rsidP="00863435">
            <w:r>
              <w:t>7</w:t>
            </w:r>
          </w:p>
        </w:tc>
        <w:tc>
          <w:tcPr>
            <w:tcW w:w="4361" w:type="dxa"/>
          </w:tcPr>
          <w:p w:rsidR="00F2678F" w:rsidRDefault="00F2678F" w:rsidP="00420534">
            <w:pPr>
              <w:pStyle w:val="Default"/>
            </w:pPr>
            <w:r>
              <w:rPr>
                <w:b/>
                <w:bCs/>
                <w:sz w:val="22"/>
                <w:szCs w:val="22"/>
              </w:rPr>
              <w:t xml:space="preserve">rechnerischer Eigenbeitrag </w:t>
            </w:r>
          </w:p>
          <w:p w:rsidR="00F2678F" w:rsidRDefault="00F2678F" w:rsidP="00863435"/>
        </w:tc>
        <w:tc>
          <w:tcPr>
            <w:tcW w:w="283" w:type="dxa"/>
          </w:tcPr>
          <w:p w:rsidR="00F2678F" w:rsidRDefault="00F2678F" w:rsidP="00863435"/>
        </w:tc>
        <w:tc>
          <w:tcPr>
            <w:tcW w:w="1276" w:type="dxa"/>
          </w:tcPr>
          <w:p w:rsidR="00F2678F" w:rsidRPr="00F2678F" w:rsidRDefault="00F2678F" w:rsidP="00F2678F">
            <w:pPr>
              <w:jc w:val="center"/>
              <w:rPr>
                <w:color w:val="FF0000"/>
              </w:rPr>
            </w:pPr>
            <w:r w:rsidRPr="00F2678F">
              <w:rPr>
                <w:color w:val="FF0000"/>
              </w:rPr>
              <w:t>60,-€</w:t>
            </w:r>
          </w:p>
        </w:tc>
      </w:tr>
    </w:tbl>
    <w:p w:rsidR="00654604" w:rsidRDefault="00654604" w:rsidP="00863435"/>
    <w:p w:rsidR="00F2678F" w:rsidRDefault="00F2678F" w:rsidP="00863435">
      <w:r>
        <w:t>In dem Fall sind es dennoch 60€ das der Sockelbetrag auf 60€ festgelegt ist.</w:t>
      </w:r>
    </w:p>
    <w:tbl>
      <w:tblPr>
        <w:tblStyle w:val="Tabellenraster"/>
        <w:tblW w:w="0" w:type="auto"/>
        <w:tblLook w:val="04A0" w:firstRow="1" w:lastRow="0" w:firstColumn="1" w:lastColumn="0" w:noHBand="0" w:noVBand="1"/>
      </w:tblPr>
      <w:tblGrid>
        <w:gridCol w:w="1134"/>
        <w:gridCol w:w="4361"/>
        <w:gridCol w:w="326"/>
        <w:gridCol w:w="1291"/>
      </w:tblGrid>
      <w:tr w:rsidR="00F2678F" w:rsidTr="00F2678F">
        <w:tc>
          <w:tcPr>
            <w:tcW w:w="1134" w:type="dxa"/>
          </w:tcPr>
          <w:p w:rsidR="00F2678F" w:rsidRDefault="00F2678F" w:rsidP="00DC7CB8"/>
        </w:tc>
        <w:tc>
          <w:tcPr>
            <w:tcW w:w="4361" w:type="dxa"/>
          </w:tcPr>
          <w:p w:rsidR="00F2678F" w:rsidRDefault="00F2678F" w:rsidP="00DC7CB8"/>
        </w:tc>
        <w:tc>
          <w:tcPr>
            <w:tcW w:w="326" w:type="dxa"/>
          </w:tcPr>
          <w:p w:rsidR="00F2678F" w:rsidRDefault="00F2678F" w:rsidP="00DC7CB8"/>
        </w:tc>
        <w:tc>
          <w:tcPr>
            <w:tcW w:w="1291" w:type="dxa"/>
          </w:tcPr>
          <w:p w:rsidR="00F2678F" w:rsidRDefault="00F2678F" w:rsidP="00DC7CB8">
            <w:r>
              <w:t>Berechnung</w:t>
            </w:r>
          </w:p>
        </w:tc>
      </w:tr>
      <w:tr w:rsidR="00F2678F" w:rsidTr="00F2678F">
        <w:tc>
          <w:tcPr>
            <w:tcW w:w="1134" w:type="dxa"/>
          </w:tcPr>
          <w:p w:rsidR="00F2678F" w:rsidRDefault="00F2678F" w:rsidP="00DC7CB8">
            <w:r>
              <w:t>1</w:t>
            </w:r>
          </w:p>
        </w:tc>
        <w:tc>
          <w:tcPr>
            <w:tcW w:w="4361" w:type="dxa"/>
          </w:tcPr>
          <w:p w:rsidR="00F2678F" w:rsidRDefault="00F2678F" w:rsidP="00DC7CB8">
            <w:pPr>
              <w:pStyle w:val="Default"/>
              <w:rPr>
                <w:sz w:val="22"/>
                <w:szCs w:val="22"/>
              </w:rPr>
            </w:pPr>
            <w:r>
              <w:rPr>
                <w:sz w:val="22"/>
                <w:szCs w:val="22"/>
              </w:rPr>
              <w:t xml:space="preserve">Sozialversicherungspflichtiges Einkommen des Vorjahres </w:t>
            </w:r>
          </w:p>
          <w:p w:rsidR="00F2678F" w:rsidRDefault="00F2678F" w:rsidP="00DC7CB8">
            <w:pPr>
              <w:pStyle w:val="Default"/>
              <w:rPr>
                <w:sz w:val="22"/>
                <w:szCs w:val="22"/>
              </w:rPr>
            </w:pPr>
            <w:r>
              <w:rPr>
                <w:noProof/>
                <w:sz w:val="22"/>
                <w:szCs w:val="22"/>
                <w:lang w:eastAsia="de-DE"/>
              </w:rPr>
              <mc:AlternateContent>
                <mc:Choice Requires="wps">
                  <w:drawing>
                    <wp:anchor distT="0" distB="0" distL="114300" distR="114300" simplePos="0" relativeHeight="251663360" behindDoc="0" locked="0" layoutInCell="1" allowOverlap="1" wp14:anchorId="15723F2A" wp14:editId="5AEDE361">
                      <wp:simplePos x="0" y="0"/>
                      <wp:positionH relativeFrom="column">
                        <wp:posOffset>567250</wp:posOffset>
                      </wp:positionH>
                      <wp:positionV relativeFrom="paragraph">
                        <wp:posOffset>21199</wp:posOffset>
                      </wp:positionV>
                      <wp:extent cx="1061720" cy="434975"/>
                      <wp:effectExtent l="38100" t="0" r="24130" b="41275"/>
                      <wp:wrapNone/>
                      <wp:docPr id="3" name="Pfeil nach unten 3"/>
                      <wp:cNvGraphicFramePr/>
                      <a:graphic xmlns:a="http://schemas.openxmlformats.org/drawingml/2006/main">
                        <a:graphicData uri="http://schemas.microsoft.com/office/word/2010/wordprocessingShape">
                          <wps:wsp>
                            <wps:cNvSpPr/>
                            <wps:spPr>
                              <a:xfrm>
                                <a:off x="0" y="0"/>
                                <a:ext cx="1061720" cy="434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678F" w:rsidRPr="00F2678F" w:rsidRDefault="00F2678F" w:rsidP="00F2678F">
                                  <w:pPr>
                                    <w:jc w:val="center"/>
                                    <w:rPr>
                                      <w:sz w:val="28"/>
                                    </w:rPr>
                                  </w:pPr>
                                  <w:r>
                                    <w:rPr>
                                      <w:sz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23F2A" id="Pfeil nach unten 3" o:spid="_x0000_s1027" type="#_x0000_t67" style="position:absolute;margin-left:44.65pt;margin-top:1.65pt;width:83.6pt;height: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" adj="10800" fillcolor="#4f81bd [3204]" strokecolor="#243f60 [1604]" strokeweight="2pt">
                      <v:textbox>
                        <w:txbxContent>
                          <w:p w:rsidR="00F2678F" w:rsidRPr="00F2678F" w:rsidRDefault="00F2678F" w:rsidP="00F2678F">
                            <w:pPr>
                              <w:jc w:val="center"/>
                              <w:rPr>
                                <w:sz w:val="28"/>
                              </w:rPr>
                            </w:pPr>
                            <w:r>
                              <w:rPr>
                                <w:sz w:val="28"/>
                              </w:rPr>
                              <w:t>4%</w:t>
                            </w:r>
                          </w:p>
                        </w:txbxContent>
                      </v:textbox>
                    </v:shape>
                  </w:pict>
                </mc:Fallback>
              </mc:AlternateContent>
            </w:r>
          </w:p>
          <w:p w:rsidR="00F2678F" w:rsidRDefault="00F2678F" w:rsidP="00DC7CB8">
            <w:pPr>
              <w:pStyle w:val="Default"/>
            </w:pPr>
          </w:p>
          <w:p w:rsidR="00F2678F" w:rsidRDefault="00F2678F" w:rsidP="00DC7CB8">
            <w:pPr>
              <w:pStyle w:val="Default"/>
            </w:pPr>
          </w:p>
        </w:tc>
        <w:tc>
          <w:tcPr>
            <w:tcW w:w="326" w:type="dxa"/>
          </w:tcPr>
          <w:p w:rsidR="00F2678F" w:rsidRDefault="00F2678F" w:rsidP="00DC7CB8"/>
        </w:tc>
        <w:tc>
          <w:tcPr>
            <w:tcW w:w="1291" w:type="dxa"/>
          </w:tcPr>
          <w:p w:rsidR="00F2678F" w:rsidRPr="00F2678F" w:rsidRDefault="00F2678F" w:rsidP="00DC7CB8">
            <w:pPr>
              <w:jc w:val="center"/>
              <w:rPr>
                <w:color w:val="FF0000"/>
              </w:rPr>
            </w:pPr>
            <w:r w:rsidRPr="00F2678F">
              <w:rPr>
                <w:color w:val="FF0000"/>
              </w:rPr>
              <w:t>20.000,-€</w:t>
            </w:r>
          </w:p>
        </w:tc>
      </w:tr>
      <w:tr w:rsidR="00F2678F" w:rsidTr="00F2678F">
        <w:tc>
          <w:tcPr>
            <w:tcW w:w="1134" w:type="dxa"/>
          </w:tcPr>
          <w:p w:rsidR="00F2678F" w:rsidRDefault="00F2678F" w:rsidP="00DC7CB8">
            <w:r>
              <w:t>2</w:t>
            </w:r>
          </w:p>
        </w:tc>
        <w:tc>
          <w:tcPr>
            <w:tcW w:w="4361" w:type="dxa"/>
          </w:tcPr>
          <w:p w:rsidR="00F2678F" w:rsidRDefault="00F2678F" w:rsidP="00DC7CB8">
            <w:pPr>
              <w:pStyle w:val="Default"/>
            </w:pPr>
            <w:r>
              <w:rPr>
                <w:sz w:val="22"/>
                <w:szCs w:val="22"/>
              </w:rPr>
              <w:t xml:space="preserve">Mindesteigenbeitrag </w:t>
            </w:r>
          </w:p>
        </w:tc>
        <w:tc>
          <w:tcPr>
            <w:tcW w:w="326" w:type="dxa"/>
          </w:tcPr>
          <w:p w:rsidR="00F2678F" w:rsidRPr="00F2678F" w:rsidRDefault="00F2678F" w:rsidP="00DC7CB8">
            <w:pPr>
              <w:jc w:val="center"/>
              <w:rPr>
                <w:color w:val="FF0000"/>
              </w:rPr>
            </w:pPr>
            <w:r w:rsidRPr="00F2678F">
              <w:rPr>
                <w:color w:val="FF0000"/>
              </w:rPr>
              <w:t>+</w:t>
            </w:r>
          </w:p>
        </w:tc>
        <w:tc>
          <w:tcPr>
            <w:tcW w:w="1291" w:type="dxa"/>
          </w:tcPr>
          <w:p w:rsidR="00F2678F" w:rsidRPr="00F2678F" w:rsidRDefault="00F2678F" w:rsidP="00DC7CB8">
            <w:pPr>
              <w:jc w:val="center"/>
              <w:rPr>
                <w:color w:val="FF0000"/>
              </w:rPr>
            </w:pPr>
            <w:r w:rsidRPr="00F2678F">
              <w:rPr>
                <w:color w:val="FF0000"/>
              </w:rPr>
              <w:t>800,-€</w:t>
            </w:r>
          </w:p>
        </w:tc>
      </w:tr>
      <w:tr w:rsidR="00F2678F" w:rsidTr="00F2678F">
        <w:tc>
          <w:tcPr>
            <w:tcW w:w="1134" w:type="dxa"/>
          </w:tcPr>
          <w:p w:rsidR="00F2678F" w:rsidRDefault="00F2678F" w:rsidP="00DC7CB8">
            <w:r>
              <w:t>3</w:t>
            </w:r>
          </w:p>
        </w:tc>
        <w:tc>
          <w:tcPr>
            <w:tcW w:w="4361" w:type="dxa"/>
          </w:tcPr>
          <w:p w:rsidR="00F2678F" w:rsidRDefault="00F2678F" w:rsidP="00DC7CB8">
            <w:pPr>
              <w:pStyle w:val="Default"/>
            </w:pPr>
            <w:r>
              <w:rPr>
                <w:sz w:val="22"/>
                <w:szCs w:val="22"/>
              </w:rPr>
              <w:t>Grundzulage (</w:t>
            </w:r>
            <w:r w:rsidRPr="00F2678F">
              <w:rPr>
                <w:color w:val="FF0000"/>
                <w:sz w:val="22"/>
                <w:szCs w:val="22"/>
              </w:rPr>
              <w:t>175,-€</w:t>
            </w:r>
            <w:r>
              <w:rPr>
                <w:sz w:val="22"/>
                <w:szCs w:val="22"/>
              </w:rPr>
              <w:t>)</w:t>
            </w:r>
          </w:p>
        </w:tc>
        <w:tc>
          <w:tcPr>
            <w:tcW w:w="326" w:type="dxa"/>
          </w:tcPr>
          <w:p w:rsidR="00F2678F" w:rsidRPr="00F2678F" w:rsidRDefault="00F2678F" w:rsidP="00DC7CB8">
            <w:pPr>
              <w:jc w:val="center"/>
              <w:rPr>
                <w:color w:val="FF0000"/>
              </w:rPr>
            </w:pPr>
            <w:r w:rsidRPr="00F2678F">
              <w:rPr>
                <w:color w:val="FF0000"/>
              </w:rPr>
              <w:t>-</w:t>
            </w:r>
          </w:p>
        </w:tc>
        <w:tc>
          <w:tcPr>
            <w:tcW w:w="1291" w:type="dxa"/>
          </w:tcPr>
          <w:p w:rsidR="00F2678F" w:rsidRPr="00F2678F" w:rsidRDefault="00F2678F" w:rsidP="00DC7CB8">
            <w:pPr>
              <w:jc w:val="center"/>
              <w:rPr>
                <w:color w:val="FF0000"/>
              </w:rPr>
            </w:pPr>
            <w:r w:rsidRPr="00F2678F">
              <w:rPr>
                <w:color w:val="FF0000"/>
              </w:rPr>
              <w:t>625,-€</w:t>
            </w:r>
          </w:p>
        </w:tc>
      </w:tr>
      <w:tr w:rsidR="00F2678F" w:rsidTr="00F2678F">
        <w:tc>
          <w:tcPr>
            <w:tcW w:w="1134" w:type="dxa"/>
          </w:tcPr>
          <w:p w:rsidR="00F2678F" w:rsidRDefault="00F2678F" w:rsidP="00DC7CB8">
            <w:r>
              <w:t>4</w:t>
            </w:r>
          </w:p>
        </w:tc>
        <w:tc>
          <w:tcPr>
            <w:tcW w:w="4361" w:type="dxa"/>
          </w:tcPr>
          <w:p w:rsidR="00F2678F" w:rsidRPr="00420534" w:rsidRDefault="00F2678F" w:rsidP="00DC7CB8">
            <w:pPr>
              <w:rPr>
                <w:rFonts w:ascii="Arial" w:hAnsi="Arial" w:cs="Arial"/>
              </w:rPr>
            </w:pPr>
            <w:r w:rsidRPr="00420534">
              <w:rPr>
                <w:rFonts w:ascii="Arial" w:hAnsi="Arial" w:cs="Arial"/>
              </w:rPr>
              <w:t>Möglicher Bonus (</w:t>
            </w:r>
            <w:r w:rsidRPr="00F2678F">
              <w:rPr>
                <w:rFonts w:ascii="Arial" w:hAnsi="Arial" w:cs="Arial"/>
                <w:color w:val="FF0000"/>
              </w:rPr>
              <w:t>200,-€)</w:t>
            </w:r>
          </w:p>
        </w:tc>
        <w:tc>
          <w:tcPr>
            <w:tcW w:w="326" w:type="dxa"/>
          </w:tcPr>
          <w:p w:rsidR="00F2678F" w:rsidRPr="00F2678F" w:rsidRDefault="00F2678F" w:rsidP="00DC7CB8">
            <w:pPr>
              <w:jc w:val="center"/>
              <w:rPr>
                <w:color w:val="FF0000"/>
              </w:rPr>
            </w:pPr>
            <w:r w:rsidRPr="00F2678F">
              <w:rPr>
                <w:color w:val="FF0000"/>
              </w:rPr>
              <w:t>-</w:t>
            </w:r>
          </w:p>
        </w:tc>
        <w:tc>
          <w:tcPr>
            <w:tcW w:w="1291" w:type="dxa"/>
          </w:tcPr>
          <w:p w:rsidR="00F2678F" w:rsidRPr="00F2678F" w:rsidRDefault="00F2678F" w:rsidP="00DC7CB8">
            <w:pPr>
              <w:jc w:val="center"/>
              <w:rPr>
                <w:color w:val="FF0000"/>
              </w:rPr>
            </w:pPr>
            <w:r>
              <w:rPr>
                <w:color w:val="FF0000"/>
              </w:rPr>
              <w:t>425,-€</w:t>
            </w:r>
          </w:p>
        </w:tc>
      </w:tr>
      <w:tr w:rsidR="00F2678F" w:rsidTr="00F2678F">
        <w:tc>
          <w:tcPr>
            <w:tcW w:w="1134" w:type="dxa"/>
          </w:tcPr>
          <w:p w:rsidR="00F2678F" w:rsidRDefault="00F2678F" w:rsidP="00DC7CB8">
            <w:r>
              <w:t>5</w:t>
            </w:r>
          </w:p>
        </w:tc>
        <w:tc>
          <w:tcPr>
            <w:tcW w:w="4361" w:type="dxa"/>
          </w:tcPr>
          <w:p w:rsidR="00F2678F" w:rsidRDefault="00F2678F" w:rsidP="00DC7CB8">
            <w:pPr>
              <w:pStyle w:val="Default"/>
            </w:pPr>
            <w:r>
              <w:rPr>
                <w:b/>
                <w:bCs/>
                <w:sz w:val="22"/>
                <w:szCs w:val="22"/>
              </w:rPr>
              <w:t xml:space="preserve">rechnerischer Eigenbeitrag </w:t>
            </w:r>
          </w:p>
          <w:p w:rsidR="00F2678F" w:rsidRDefault="00F2678F" w:rsidP="00DC7CB8"/>
        </w:tc>
        <w:tc>
          <w:tcPr>
            <w:tcW w:w="326" w:type="dxa"/>
          </w:tcPr>
          <w:p w:rsidR="00F2678F" w:rsidRDefault="00F2678F" w:rsidP="00DC7CB8"/>
        </w:tc>
        <w:tc>
          <w:tcPr>
            <w:tcW w:w="1291" w:type="dxa"/>
          </w:tcPr>
          <w:p w:rsidR="00F2678F" w:rsidRPr="00F2678F" w:rsidRDefault="00F2678F" w:rsidP="00DC7CB8">
            <w:pPr>
              <w:jc w:val="center"/>
              <w:rPr>
                <w:color w:val="FF0000"/>
              </w:rPr>
            </w:pPr>
            <w:r>
              <w:rPr>
                <w:color w:val="FF0000"/>
              </w:rPr>
              <w:t>425</w:t>
            </w:r>
            <w:r w:rsidRPr="00F2678F">
              <w:rPr>
                <w:color w:val="FF0000"/>
              </w:rPr>
              <w:t>,-€</w:t>
            </w:r>
          </w:p>
        </w:tc>
      </w:tr>
    </w:tbl>
    <w:p w:rsidR="00F2678F" w:rsidRDefault="00F2678F" w:rsidP="00863435"/>
    <w:p w:rsidR="006C19D1" w:rsidRDefault="00B14C67" w:rsidP="00863435">
      <w:r>
        <w:t xml:space="preserve">Bei einem Jahreseinkommen </w:t>
      </w:r>
      <w:proofErr w:type="spellStart"/>
      <w:r>
        <w:t>bus</w:t>
      </w:r>
      <w:proofErr w:type="spellEnd"/>
      <w:r>
        <w:t xml:space="preserve"> zu 5875 zahlt man nur den Sockelbeitrag von 60€</w:t>
      </w:r>
    </w:p>
    <w:p w:rsidR="003738FD" w:rsidRDefault="003738FD" w:rsidP="00863435"/>
    <w:p w:rsidR="003738FD" w:rsidRDefault="003738FD" w:rsidP="00863435"/>
    <w:p w:rsidR="003738FD" w:rsidRDefault="0065203D" w:rsidP="003738F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Beispiel:</w:t>
      </w:r>
    </w:p>
    <w:p w:rsidR="0065203D" w:rsidRPr="003738FD" w:rsidRDefault="0065203D" w:rsidP="003738FD">
      <w:pPr>
        <w:autoSpaceDE w:val="0"/>
        <w:autoSpaceDN w:val="0"/>
        <w:adjustRightInd w:val="0"/>
        <w:spacing w:after="0" w:line="240" w:lineRule="auto"/>
        <w:rPr>
          <w:rFonts w:ascii="Arial" w:hAnsi="Arial" w:cs="Arial"/>
          <w:color w:val="000000"/>
          <w:sz w:val="24"/>
          <w:szCs w:val="24"/>
        </w:rPr>
      </w:pPr>
    </w:p>
    <w:p w:rsidR="0065203D" w:rsidRDefault="0065203D" w:rsidP="003738FD">
      <w:pPr>
        <w:autoSpaceDE w:val="0"/>
        <w:autoSpaceDN w:val="0"/>
        <w:adjustRightInd w:val="0"/>
        <w:spacing w:after="0" w:line="240" w:lineRule="auto"/>
        <w:rPr>
          <w:rFonts w:ascii="Arial" w:hAnsi="Arial" w:cs="Arial"/>
          <w:color w:val="000000"/>
        </w:rPr>
      </w:pPr>
      <w:r>
        <w:rPr>
          <w:rFonts w:ascii="Arial" w:hAnsi="Arial" w:cs="Arial"/>
          <w:color w:val="000000"/>
        </w:rPr>
        <w:t>Jana, 25</w:t>
      </w:r>
      <w:r w:rsidR="003738FD" w:rsidRPr="003738FD">
        <w:rPr>
          <w:rFonts w:ascii="Arial" w:hAnsi="Arial" w:cs="Arial"/>
          <w:color w:val="000000"/>
        </w:rPr>
        <w:t xml:space="preserve"> Jahre alt, möchte einen Riester-Vertrag abschließen. Als Auszubildende hat sie im letzten Ja</w:t>
      </w:r>
      <w:r>
        <w:rPr>
          <w:rFonts w:ascii="Arial" w:hAnsi="Arial" w:cs="Arial"/>
          <w:color w:val="000000"/>
        </w:rPr>
        <w:t>hr 6.300,- Euro brutto verdient</w:t>
      </w:r>
      <w:r w:rsidR="003738FD" w:rsidRPr="003738FD">
        <w:rPr>
          <w:rFonts w:ascii="Arial" w:hAnsi="Arial" w:cs="Arial"/>
          <w:color w:val="000000"/>
        </w:rPr>
        <w:t xml:space="preserve">. </w:t>
      </w:r>
    </w:p>
    <w:p w:rsidR="003738FD" w:rsidRDefault="003738FD" w:rsidP="003738FD">
      <w:pPr>
        <w:autoSpaceDE w:val="0"/>
        <w:autoSpaceDN w:val="0"/>
        <w:adjustRightInd w:val="0"/>
        <w:spacing w:after="0" w:line="240" w:lineRule="auto"/>
        <w:rPr>
          <w:rFonts w:ascii="Arial" w:hAnsi="Arial" w:cs="Arial"/>
          <w:color w:val="000000"/>
        </w:rPr>
      </w:pPr>
      <w:r w:rsidRPr="003738FD">
        <w:rPr>
          <w:rFonts w:ascii="Arial" w:hAnsi="Arial" w:cs="Arial"/>
          <w:color w:val="000000"/>
        </w:rPr>
        <w:t xml:space="preserve">Wie viel Geld muss sie in diesem Jahr einzahlen, um die maximale staatliche Zulage zu bekommen? </w:t>
      </w:r>
    </w:p>
    <w:p w:rsidR="0065203D" w:rsidRPr="003738FD" w:rsidRDefault="0065203D" w:rsidP="003738FD">
      <w:pPr>
        <w:autoSpaceDE w:val="0"/>
        <w:autoSpaceDN w:val="0"/>
        <w:adjustRightInd w:val="0"/>
        <w:spacing w:after="0" w:line="240" w:lineRule="auto"/>
        <w:rPr>
          <w:rFonts w:ascii="Arial" w:hAnsi="Arial" w:cs="Arial"/>
          <w:color w:val="000000"/>
        </w:rPr>
      </w:pPr>
      <w:r>
        <w:rPr>
          <w:rFonts w:ascii="Arial" w:hAnsi="Arial" w:cs="Arial"/>
          <w:color w:val="000000"/>
        </w:rPr>
        <w:t>Keine Kinder – lebt allein.</w:t>
      </w:r>
    </w:p>
    <w:p w:rsidR="003738FD" w:rsidRDefault="003738FD" w:rsidP="003738FD">
      <w:pPr>
        <w:autoSpaceDE w:val="0"/>
        <w:autoSpaceDN w:val="0"/>
        <w:adjustRightInd w:val="0"/>
        <w:spacing w:after="0" w:line="240" w:lineRule="auto"/>
        <w:rPr>
          <w:rFonts w:ascii="Arial" w:hAnsi="Arial" w:cs="Arial"/>
          <w:color w:val="000000"/>
        </w:rPr>
      </w:pPr>
      <w:r w:rsidRPr="003738FD">
        <w:rPr>
          <w:rFonts w:ascii="Arial" w:hAnsi="Arial" w:cs="Arial"/>
          <w:color w:val="000000"/>
        </w:rPr>
        <w:t xml:space="preserve">6.300,- X 4% = 252,- € abzgl. (154,- € + 200,- €) = 0 €, aber </w:t>
      </w:r>
      <w:r w:rsidR="0065203D">
        <w:rPr>
          <w:rFonts w:ascii="Arial" w:hAnsi="Arial" w:cs="Arial"/>
          <w:color w:val="000000"/>
        </w:rPr>
        <w:t xml:space="preserve">der </w:t>
      </w:r>
      <w:r w:rsidRPr="003738FD">
        <w:rPr>
          <w:rFonts w:ascii="Arial" w:hAnsi="Arial" w:cs="Arial"/>
          <w:color w:val="000000"/>
        </w:rPr>
        <w:t>Sockelbetrag</w:t>
      </w:r>
      <w:r w:rsidR="0065203D">
        <w:rPr>
          <w:rFonts w:ascii="Arial" w:hAnsi="Arial" w:cs="Arial"/>
          <w:color w:val="000000"/>
        </w:rPr>
        <w:t xml:space="preserve"> beträgt</w:t>
      </w:r>
      <w:r w:rsidRPr="003738FD">
        <w:rPr>
          <w:rFonts w:ascii="Arial" w:hAnsi="Arial" w:cs="Arial"/>
          <w:color w:val="000000"/>
        </w:rPr>
        <w:t xml:space="preserve"> 60,- € </w:t>
      </w:r>
    </w:p>
    <w:p w:rsidR="0065203D" w:rsidRDefault="0065203D" w:rsidP="003738FD">
      <w:pPr>
        <w:autoSpaceDE w:val="0"/>
        <w:autoSpaceDN w:val="0"/>
        <w:adjustRightInd w:val="0"/>
        <w:spacing w:after="0" w:line="240" w:lineRule="auto"/>
        <w:rPr>
          <w:rFonts w:ascii="Arial" w:hAnsi="Arial" w:cs="Arial"/>
          <w:color w:val="000000"/>
        </w:rPr>
      </w:pPr>
      <w:r>
        <w:rPr>
          <w:rFonts w:ascii="Arial" w:hAnsi="Arial" w:cs="Arial"/>
          <w:color w:val="000000"/>
        </w:rPr>
        <w:t>somit muss Sie im 1. Jahr 60€ zahlen.</w:t>
      </w:r>
    </w:p>
    <w:p w:rsidR="0065203D" w:rsidRPr="003738FD" w:rsidRDefault="0065203D" w:rsidP="003738FD">
      <w:pPr>
        <w:autoSpaceDE w:val="0"/>
        <w:autoSpaceDN w:val="0"/>
        <w:adjustRightInd w:val="0"/>
        <w:spacing w:after="0" w:line="240" w:lineRule="auto"/>
        <w:rPr>
          <w:rFonts w:ascii="Arial" w:hAnsi="Arial" w:cs="Arial"/>
          <w:color w:val="000000"/>
        </w:rPr>
      </w:pPr>
      <w:r>
        <w:rPr>
          <w:rFonts w:ascii="Arial" w:hAnsi="Arial" w:cs="Arial"/>
          <w:color w:val="000000"/>
        </w:rPr>
        <w:t>Im zweiten Jahr hat sie den Bonus von 200€ nicht:</w:t>
      </w:r>
    </w:p>
    <w:p w:rsidR="003738FD" w:rsidRDefault="003738FD" w:rsidP="003738FD">
      <w:pPr>
        <w:rPr>
          <w:rFonts w:ascii="Arial" w:hAnsi="Arial" w:cs="Arial"/>
          <w:color w:val="000000"/>
        </w:rPr>
      </w:pPr>
      <w:r w:rsidRPr="003738FD">
        <w:rPr>
          <w:rFonts w:ascii="Arial" w:hAnsi="Arial" w:cs="Arial"/>
          <w:color w:val="000000"/>
        </w:rPr>
        <w:t>6.300,- X 4% = 252,- € abzgl. (154,- €) =98 €</w:t>
      </w:r>
      <w:r w:rsidR="0065203D">
        <w:rPr>
          <w:rFonts w:ascii="Arial" w:hAnsi="Arial" w:cs="Arial"/>
          <w:color w:val="000000"/>
        </w:rPr>
        <w:br/>
        <w:t>Das heißt sie muss 98€ zahlen – sofern der verdienst gleich bleibt.</w:t>
      </w:r>
    </w:p>
    <w:p w:rsidR="00410924" w:rsidRDefault="00410924" w:rsidP="003738FD">
      <w:pPr>
        <w:rPr>
          <w:rFonts w:ascii="Arial" w:hAnsi="Arial" w:cs="Arial"/>
          <w:color w:val="000000"/>
        </w:rPr>
      </w:pPr>
    </w:p>
    <w:p w:rsidR="00410924" w:rsidRPr="00B6109F" w:rsidRDefault="00410924" w:rsidP="003738FD">
      <w:bookmarkStart w:id="0" w:name="_GoBack"/>
      <w:bookmarkEnd w:id="0"/>
    </w:p>
    <w:sectPr w:rsidR="00410924" w:rsidRPr="00B6109F" w:rsidSect="00F267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A0D" w:rsidRDefault="00C11A0D" w:rsidP="00450B8F">
      <w:pPr>
        <w:spacing w:after="0" w:line="240" w:lineRule="auto"/>
      </w:pPr>
      <w:r>
        <w:separator/>
      </w:r>
    </w:p>
  </w:endnote>
  <w:endnote w:type="continuationSeparator" w:id="0">
    <w:p w:rsidR="00C11A0D" w:rsidRDefault="00C11A0D" w:rsidP="0045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A0D" w:rsidRDefault="00C11A0D" w:rsidP="00450B8F">
      <w:pPr>
        <w:spacing w:after="0" w:line="240" w:lineRule="auto"/>
      </w:pPr>
      <w:r>
        <w:separator/>
      </w:r>
    </w:p>
  </w:footnote>
  <w:footnote w:type="continuationSeparator" w:id="0">
    <w:p w:rsidR="00C11A0D" w:rsidRDefault="00C11A0D" w:rsidP="00450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602"/>
    <w:multiLevelType w:val="hybridMultilevel"/>
    <w:tmpl w:val="F6026B56"/>
    <w:lvl w:ilvl="0" w:tplc="998889B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DD"/>
    <w:rsid w:val="002007D0"/>
    <w:rsid w:val="003738FD"/>
    <w:rsid w:val="003903D3"/>
    <w:rsid w:val="00410924"/>
    <w:rsid w:val="00420534"/>
    <w:rsid w:val="00450B8F"/>
    <w:rsid w:val="004D7A20"/>
    <w:rsid w:val="005038C5"/>
    <w:rsid w:val="0065203D"/>
    <w:rsid w:val="00654604"/>
    <w:rsid w:val="006C19D1"/>
    <w:rsid w:val="00863435"/>
    <w:rsid w:val="00890E90"/>
    <w:rsid w:val="00B14C67"/>
    <w:rsid w:val="00B6109F"/>
    <w:rsid w:val="00BD59DD"/>
    <w:rsid w:val="00C11A0D"/>
    <w:rsid w:val="00C877BD"/>
    <w:rsid w:val="00D9134E"/>
    <w:rsid w:val="00E57278"/>
    <w:rsid w:val="00EC4938"/>
    <w:rsid w:val="00F26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B2ED9"/>
  <w15:docId w15:val="{24663B3B-6026-403F-88E2-E8BC3D26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D59DD"/>
    <w:pPr>
      <w:ind w:left="720"/>
      <w:contextualSpacing/>
    </w:pPr>
  </w:style>
  <w:style w:type="character" w:styleId="Fett">
    <w:name w:val="Strong"/>
    <w:basedOn w:val="Absatz-Standardschriftart"/>
    <w:uiPriority w:val="22"/>
    <w:qFormat/>
    <w:rsid w:val="00BD59DD"/>
    <w:rPr>
      <w:b/>
      <w:bCs/>
    </w:rPr>
  </w:style>
  <w:style w:type="character" w:styleId="Hyperlink">
    <w:name w:val="Hyperlink"/>
    <w:basedOn w:val="Absatz-Standardschriftart"/>
    <w:uiPriority w:val="99"/>
    <w:semiHidden/>
    <w:unhideWhenUsed/>
    <w:rsid w:val="00B6109F"/>
    <w:rPr>
      <w:color w:val="0000FF"/>
      <w:u w:val="single"/>
    </w:rPr>
  </w:style>
  <w:style w:type="paragraph" w:styleId="Kopfzeile">
    <w:name w:val="header"/>
    <w:basedOn w:val="Standard"/>
    <w:link w:val="KopfzeileZchn"/>
    <w:uiPriority w:val="99"/>
    <w:unhideWhenUsed/>
    <w:rsid w:val="00450B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0B8F"/>
  </w:style>
  <w:style w:type="paragraph" w:styleId="Fuzeile">
    <w:name w:val="footer"/>
    <w:basedOn w:val="Standard"/>
    <w:link w:val="FuzeileZchn"/>
    <w:uiPriority w:val="99"/>
    <w:unhideWhenUsed/>
    <w:rsid w:val="00450B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0B8F"/>
  </w:style>
  <w:style w:type="paragraph" w:customStyle="1" w:styleId="Default">
    <w:name w:val="Default"/>
    <w:rsid w:val="00654604"/>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2007D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7D0"/>
    <w:rPr>
      <w:rFonts w:ascii="Tahoma" w:hAnsi="Tahoma" w:cs="Tahoma"/>
      <w:sz w:val="16"/>
      <w:szCs w:val="16"/>
    </w:rPr>
  </w:style>
  <w:style w:type="table" w:styleId="Tabellenraster">
    <w:name w:val="Table Grid"/>
    <w:basedOn w:val="NormaleTabelle"/>
    <w:uiPriority w:val="59"/>
    <w:rsid w:val="00200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1092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410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3222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update</dc:creator>
  <cp:lastModifiedBy>Schnitger, Jannik</cp:lastModifiedBy>
  <cp:revision>2</cp:revision>
  <dcterms:created xsi:type="dcterms:W3CDTF">2019-01-23T17:11:00Z</dcterms:created>
  <dcterms:modified xsi:type="dcterms:W3CDTF">2019-01-23T17:11:00Z</dcterms:modified>
</cp:coreProperties>
</file>